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 xml:space="preserve">Orientador (a): Prof. Dr.  Luiz Batista </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ind w:left="0" w:hanging="0"/>
        <w:rPr/>
      </w:pPr>
      <w:r>
        <w:rPr/>
      </w:r>
    </w:p>
    <w:p>
      <w:pPr>
        <w:pStyle w:val="Normal"/>
        <w:rPr/>
      </w:pPr>
      <w:r>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 xml:space="preserve">A dinâmica macroeconômica do Brasil Império, da independência em 1822 até a proclamação da República em 1889, foi delineada por dois quesitos fundamentais: em primeiro, o fator trabalho empregado na produção composto na sua quase totalidade por não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representar 9,9% das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modelagem estatística, busca-se evidenciar a ocorrência ou não de quebras estruturais nas exportações de café no período datado como a extinção do tráfico transatlântico, isto é, no “ponto de pré-transição” para o trabalho assalariado.  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57" w:after="57"/>
        <w:ind w:left="0" w:right="0" w:hanging="0"/>
        <w:contextualSpacing/>
        <w:jc w:val="both"/>
        <w:rPr>
          <w:color w:val="000000"/>
          <w:sz w:val="24"/>
          <w:szCs w:val="24"/>
        </w:rPr>
      </w:pPr>
      <w:r>
        <w:rPr>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w:t>
      </w:r>
      <w:r>
        <w:rPr>
          <w:rFonts w:eastAsia="Times New Roman" w:cs="Times New Roman"/>
          <w:b w:val="false"/>
          <w:bCs w:val="false"/>
          <w:color w:val="000000"/>
          <w:kern w:val="0"/>
          <w:sz w:val="24"/>
          <w:szCs w:val="24"/>
          <w:lang w:val="pt-BR" w:eastAsia="pt-BR" w:bidi="ar-SA"/>
        </w:rPr>
        <w:t>é</w:t>
      </w:r>
      <w:r>
        <w:rPr>
          <w:b w:val="false"/>
          <w:bCs w:val="false"/>
          <w:color w:val="000000"/>
          <w:sz w:val="24"/>
          <w:szCs w:val="24"/>
        </w:rPr>
        <w:t xml:space="preserve">, </w:t>
      </w:r>
      <w:r>
        <w:rPr>
          <w:rFonts w:eastAsia="Times New Roman" w:cs="Times New Roman"/>
          <w:b w:val="false"/>
          <w:bCs w:val="false"/>
          <w:color w:val="000000"/>
          <w:kern w:val="0"/>
          <w:sz w:val="24"/>
          <w:szCs w:val="24"/>
          <w:lang w:val="pt-BR" w:eastAsia="pt-BR" w:bidi="ar-SA"/>
        </w:rPr>
        <w:t>assim</w:t>
      </w:r>
      <w:r>
        <w:rPr>
          <w:b w:val="false"/>
          <w:bCs w:val="false"/>
          <w:color w:val="000000"/>
          <w:sz w:val="24"/>
          <w:szCs w:val="24"/>
        </w:rPr>
        <w:t xml:space="preserve">,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fals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Ncoradanotaderodap"/>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fals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interno e o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fals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fals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próximos dos 50%, com exceção do último decênio do século, fechando o ano de 1900 com os incríveis 76.35% de participação na produção mundial (ver gráfico 4). Ou seja,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Ncoradanotaderodap"/>
          <w:b w:val="false"/>
          <w:i w:val="false"/>
          <w:caps w:val="false"/>
          <w:smallCaps w:val="false"/>
          <w:strike w:val="false"/>
          <w:dstrike w:val="false"/>
          <w:color w:val="000000"/>
          <w:sz w:val="24"/>
          <w:szCs w:val="24"/>
          <w:highlight w:val="white"/>
          <w:u w:val="none"/>
          <w:effect w:val="none"/>
        </w:rPr>
        <w:footnoteReference w:id="20"/>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w:t>
      </w:r>
      <w:r>
        <w:rPr>
          <w:rFonts w:eastAsia="Times New Roman" w:cs="Times New Roman"/>
          <w:b w:val="false"/>
          <w:bCs w:val="false"/>
          <w:color w:val="000000"/>
          <w:kern w:val="0"/>
          <w:sz w:val="24"/>
          <w:szCs w:val="24"/>
          <w:lang w:val="pt-BR" w:eastAsia="pt-BR" w:bidi="ar-SA"/>
        </w:rPr>
        <w:t>estat</w:t>
      </w:r>
      <w:r>
        <w:rPr>
          <w:rFonts w:eastAsia="Times New Roman" w:cs="Times New Roman"/>
          <w:b w:val="false"/>
          <w:bCs w:val="false"/>
          <w:color w:val="000000"/>
          <w:kern w:val="0"/>
          <w:sz w:val="24"/>
          <w:szCs w:val="24"/>
          <w:lang w:val="pt-BR" w:eastAsia="pt-BR" w:bidi="ar-SA"/>
        </w:rPr>
        <w:t>ística</w:t>
      </w:r>
      <w:r>
        <w:rPr>
          <w:rFonts w:eastAsia="Times New Roman" w:cs="Times New Roman"/>
          <w:b w:val="false"/>
          <w:bCs w:val="false"/>
          <w:color w:val="000000"/>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C9211E"/>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Ncoradanotaderodap"/>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r na formulação retorna a relação de associação linear que varia de 1 a -1, isto é, a relação direcional positiva ou negativa entre </w:t>
      </w:r>
      <w:r>
        <w:rPr>
          <w:rFonts w:eastAsia="Times New Roman" w:cs="Times New Roman"/>
          <w:b w:val="false"/>
          <w:bCs w:val="false"/>
          <w:color w:val="auto"/>
          <w:kern w:val="0"/>
          <w:sz w:val="24"/>
          <w:szCs w:val="24"/>
          <w:lang w:val="pt-BR" w:eastAsia="pt-BR" w:bidi="ar-SA"/>
        </w:rPr>
        <w:t>vari</w:t>
      </w:r>
      <w:r>
        <w:rPr>
          <w:rFonts w:eastAsia="Times New Roman" w:cs="Times New Roman"/>
          <w:b w:val="false"/>
          <w:bCs w:val="false"/>
          <w:color w:val="auto"/>
          <w:kern w:val="0"/>
          <w:sz w:val="24"/>
          <w:szCs w:val="24"/>
          <w:lang w:val="pt-BR" w:eastAsia="pt-BR" w:bidi="ar-SA"/>
        </w:rPr>
        <w:t>áveis</w:t>
      </w:r>
      <w:r>
        <w:rPr>
          <w:rFonts w:eastAsia="Times New Roman" w:cs="Times New Roman"/>
          <w:b w:val="false"/>
          <w:bCs w:val="false"/>
          <w:color w:val="auto"/>
          <w:kern w:val="0"/>
          <w:sz w:val="24"/>
          <w:szCs w:val="24"/>
          <w:lang w:val="pt-BR" w:eastAsia="pt-BR" w:bidi="ar-SA"/>
        </w:rPr>
        <w:t xml:space="preserve">, por exemplo, </w:t>
      </w:r>
      <w:r>
        <w:rPr>
          <w:rFonts w:eastAsia="Times New Roman" w:cs="Times New Roman"/>
          <w:b w:val="false"/>
          <w:bCs w:val="false"/>
          <w:color w:val="auto"/>
          <w:kern w:val="0"/>
          <w:sz w:val="24"/>
          <w:szCs w:val="24"/>
          <w:lang w:val="pt-BR" w:eastAsia="pt-BR" w:bidi="ar-SA"/>
        </w:rPr>
        <w:t>entre duas vari</w:t>
      </w:r>
      <w:r>
        <w:rPr>
          <w:rFonts w:eastAsia="Times New Roman" w:cs="Times New Roman"/>
          <w:b w:val="false"/>
          <w:bCs w:val="false"/>
          <w:color w:val="auto"/>
          <w:kern w:val="0"/>
          <w:sz w:val="24"/>
          <w:szCs w:val="24"/>
          <w:lang w:val="pt-BR" w:eastAsia="pt-BR" w:bidi="ar-SA"/>
        </w:rPr>
        <w:t>áveis</w:t>
      </w:r>
      <w:r>
        <w:rPr>
          <w:rFonts w:eastAsia="Times New Roman" w:cs="Times New Roman"/>
          <w:b w:val="false"/>
          <w:bCs w:val="false"/>
          <w:color w:val="auto"/>
          <w:kern w:val="0"/>
          <w:sz w:val="24"/>
          <w:szCs w:val="24"/>
          <w:lang w:val="pt-BR" w:eastAsia="pt-BR" w:bidi="ar-SA"/>
        </w:rPr>
        <w:t xml:space="preserve"> no caso bivariado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w:t>
      </w:r>
      <w:r>
        <w:rPr>
          <w:rFonts w:eastAsia="Times New Roman" w:cs="Times New Roman"/>
          <w:b w:val="false"/>
          <w:bCs w:val="false"/>
          <w:color w:val="auto"/>
          <w:kern w:val="0"/>
          <w:sz w:val="24"/>
          <w:szCs w:val="24"/>
          <w:lang w:val="pt-BR" w:eastAsia="pt-BR" w:bidi="ar-SA"/>
        </w:rPr>
        <w:t xml:space="preserve">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w:t>
      </w:r>
      <w:r>
        <w:rPr>
          <w:rFonts w:eastAsia="Times New Roman" w:cs="Times New Roman"/>
          <w:b w:val="false"/>
          <w:bCs w:val="false"/>
          <w:color w:val="auto"/>
          <w:kern w:val="0"/>
          <w:sz w:val="24"/>
          <w:szCs w:val="24"/>
          <w:lang w:val="pt-BR" w:eastAsia="pt-BR" w:bidi="ar-SA"/>
        </w:rPr>
        <w:t>de forma compactada</w:t>
      </w:r>
      <w:r>
        <w:rPr>
          <w:rFonts w:eastAsia="Times New Roman" w:cs="Times New Roman"/>
          <w:b w:val="false"/>
          <w:bCs w:val="false"/>
          <w:color w:val="auto"/>
          <w:kern w:val="0"/>
          <w:sz w:val="24"/>
          <w:szCs w:val="24"/>
          <w:lang w:val="pt-BR" w:eastAsia="pt-BR" w:bidi="ar-SA"/>
        </w:rPr>
        <w:t xml:space="preserve">: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w:t>
      </w:r>
      <w:r>
        <w:rPr>
          <w:rFonts w:eastAsia="Times New Roman" w:cs="Times New Roman"/>
          <w:b w:val="false"/>
          <w:bCs w:val="false"/>
          <w:color w:val="auto"/>
          <w:kern w:val="0"/>
          <w:sz w:val="24"/>
          <w:szCs w:val="24"/>
          <w:lang w:val="pt-BR" w:eastAsia="pt-BR" w:bidi="ar-SA"/>
        </w:rPr>
        <w:t xml:space="preserve">oneroso e </w:t>
      </w:r>
      <w:r>
        <w:rPr>
          <w:rFonts w:eastAsia="Times New Roman" w:cs="Times New Roman"/>
          <w:b w:val="false"/>
          <w:bCs w:val="false"/>
          <w:color w:val="auto"/>
          <w:kern w:val="0"/>
          <w:sz w:val="24"/>
          <w:szCs w:val="24"/>
          <w:lang w:val="pt-BR" w:eastAsia="pt-BR" w:bidi="ar-SA"/>
        </w:rPr>
        <w:t xml:space="preserve">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w:t>
      </w:r>
      <w:r>
        <w:rPr>
          <w:rFonts w:eastAsia="Times New Roman" w:cs="Times New Roman"/>
          <w:b w:val="false"/>
          <w:bCs w:val="false"/>
          <w:color w:val="auto"/>
          <w:kern w:val="0"/>
          <w:sz w:val="24"/>
          <w:szCs w:val="24"/>
          <w:lang w:val="pt-BR" w:eastAsia="pt-BR" w:bidi="ar-SA"/>
        </w:rPr>
        <w:t>de n</w:t>
      </w:r>
      <w:r>
        <w:rPr>
          <w:rFonts w:eastAsia="Times New Roman" w:cs="Times New Roman"/>
          <w:b w:val="false"/>
          <w:bCs w:val="false"/>
          <w:color w:val="auto"/>
          <w:kern w:val="0"/>
          <w:sz w:val="24"/>
          <w:szCs w:val="24"/>
          <w:lang w:val="pt-BR" w:eastAsia="pt-BR" w:bidi="ar-SA"/>
        </w:rPr>
        <w:t xml:space="preserve">úmero </w:t>
      </w:r>
      <w:r>
        <w:rPr>
          <w:rFonts w:eastAsia="Times New Roman" w:cs="Times New Roman"/>
          <w:b w:val="false"/>
          <w:bCs w:val="false"/>
          <w:color w:val="auto"/>
          <w:kern w:val="0"/>
          <w:sz w:val="24"/>
          <w:szCs w:val="24"/>
          <w:lang w:val="pt-BR" w:eastAsia="pt-BR" w:bidi="ar-SA"/>
        </w:rPr>
        <w:t xml:space="preserve">50. </w:t>
      </w:r>
      <w:r>
        <w:rPr>
          <w:rFonts w:eastAsia="Times New Roman" w:cs="Times New Roman"/>
          <w:b w:val="false"/>
          <w:bCs w:val="false"/>
          <w:color w:val="auto"/>
          <w:kern w:val="0"/>
          <w:sz w:val="24"/>
          <w:szCs w:val="24"/>
          <w:lang w:val="pt-BR" w:eastAsia="pt-BR" w:bidi="ar-SA"/>
        </w:rPr>
        <w:t>Sob esse</w:t>
      </w:r>
      <w:r>
        <w:rPr>
          <w:rFonts w:eastAsia="Times New Roman" w:cs="Times New Roman"/>
          <w:b w:val="false"/>
          <w:bCs w:val="false"/>
          <w:color w:val="auto"/>
          <w:kern w:val="0"/>
          <w:sz w:val="24"/>
          <w:szCs w:val="24"/>
          <w:lang w:val="pt-BR" w:eastAsia="pt-BR" w:bidi="ar-SA"/>
        </w:rPr>
        <w:t xml:space="preserve"> cenário o teste de Chow </w:t>
      </w:r>
      <w:r>
        <w:rPr>
          <w:rFonts w:eastAsia="Times New Roman" w:cs="Times New Roman"/>
          <w:b w:val="false"/>
          <w:bCs w:val="false"/>
          <w:color w:val="auto"/>
          <w:kern w:val="0"/>
          <w:sz w:val="24"/>
          <w:szCs w:val="24"/>
          <w:lang w:val="pt-BR" w:eastAsia="pt-BR" w:bidi="ar-SA"/>
        </w:rPr>
        <w:t>subdivide-se</w:t>
      </w:r>
      <w:r>
        <w:rPr>
          <w:rFonts w:eastAsia="Times New Roman" w:cs="Times New Roman"/>
          <w:b w:val="false"/>
          <w:bCs w:val="false"/>
          <w:color w:val="auto"/>
          <w:kern w:val="0"/>
          <w:sz w:val="24"/>
          <w:szCs w:val="24"/>
          <w:lang w:val="pt-BR" w:eastAsia="pt-BR" w:bidi="ar-SA"/>
        </w:rPr>
        <w:t xml:space="preserv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Feito a estimação dos modelos </w:t>
      </w:r>
      <w:r>
        <w:rPr>
          <w:rFonts w:eastAsia="Times New Roman" w:cs="Times New Roman"/>
          <w:b w:val="false"/>
          <w:bCs w:val="false"/>
          <w:color w:val="auto"/>
          <w:kern w:val="0"/>
          <w:sz w:val="24"/>
          <w:szCs w:val="24"/>
          <w:lang w:val="pt-BR" w:eastAsia="pt-BR" w:bidi="ar-SA"/>
        </w:rPr>
        <w:t>dos subper</w:t>
      </w:r>
      <w:r>
        <w:rPr>
          <w:rFonts w:eastAsia="Times New Roman" w:cs="Times New Roman"/>
          <w:b w:val="false"/>
          <w:bCs w:val="false"/>
          <w:color w:val="auto"/>
          <w:kern w:val="0"/>
          <w:sz w:val="24"/>
          <w:szCs w:val="24"/>
          <w:lang w:val="pt-BR" w:eastAsia="pt-BR" w:bidi="ar-SA"/>
        </w:rPr>
        <w:t>íodos</w:t>
      </w:r>
      <w:r>
        <w:rPr>
          <w:rFonts w:eastAsia="Times New Roman" w:cs="Times New Roman"/>
          <w:b w:val="false"/>
          <w:bCs w:val="false"/>
          <w:color w:val="auto"/>
          <w:kern w:val="0"/>
          <w:sz w:val="24"/>
          <w:szCs w:val="24"/>
          <w:lang w:val="pt-BR" w:eastAsia="pt-BR" w:bidi="ar-SA"/>
        </w:rPr>
        <w:t>,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Os dados utilizados no presente trabalho são de diversos banco de dados públicos. Na</w:t>
      </w:r>
      <w:r>
        <w:rPr>
          <w:rFonts w:cs="Times New Roman"/>
          <w:b w:val="false"/>
          <w:bCs w:val="false"/>
          <w:sz w:val="24"/>
        </w:rPr>
        <w:t xml:space="preserve">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sz w:val="20"/>
          <w:szCs w:val="20"/>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spacing w:lineRule="auto" w:line="360"/>
        <w:ind w:left="0" w:right="0" w:firstLine="850"/>
        <w:jc w:val="both"/>
        <w:rPr>
          <w:rFonts w:cs="Times New Roman"/>
          <w:b w:val="false"/>
          <w:b w:val="false"/>
          <w:bCs w:val="false"/>
          <w:sz w:val="24"/>
        </w:rPr>
      </w:pPr>
      <w:r>
        <w:rPr/>
      </w:r>
    </w:p>
    <w:p>
      <w:pPr>
        <w:pStyle w:val="Normal"/>
        <w:spacing w:lineRule="auto" w:line="360"/>
        <w:ind w:left="0" w:right="0" w:firstLine="850"/>
        <w:jc w:val="both"/>
        <w:rPr>
          <w:rFonts w:cs="Times New Roman"/>
          <w:b w:val="false"/>
          <w:b w:val="false"/>
          <w:bCs w:val="false"/>
          <w:i w:val="false"/>
          <w:i w:val="false"/>
          <w:caps w:val="false"/>
          <w:smallCaps w:val="false"/>
          <w:strike w:val="false"/>
          <w:dstrike w:val="false"/>
          <w:color w:val="000000"/>
          <w:sz w:val="24"/>
          <w:szCs w:val="24"/>
          <w:highlight w:val="white"/>
          <w:u w:val="none"/>
          <w:effect w:val="no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presente pesquisa coloca como objetivo central analisar as exportações de café com o  fim do tráfico transatlântico, o “ponto de pré-transição” como definido</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4"/>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Como exposto na secção metodológica, o teste de Chow busca identificar mudança estrutural nos parâmetros ao longo do tempo. Assim, definindo a data de quebra, o próximo passo é especificar um modelo para exportações de café. Pois bem, com base na teoria econômica pode-se especificar um modelo convencional de regressão linear múltipla: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posOffset>641350</wp:posOffset>
            </wp:positionH>
            <wp:positionV relativeFrom="paragraph">
              <wp:posOffset>57150</wp:posOffset>
            </wp:positionV>
            <wp:extent cx="4133850" cy="64770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4133850" cy="64770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lnC</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iCs/>
          <w:caps w:val="false"/>
          <w:smallCaps w:val="false"/>
          <w:strike w:val="false"/>
          <w:dstrike w:val="false"/>
          <w:color w:val="000000"/>
          <w:position w:val="0"/>
          <w:sz w:val="24"/>
          <w:sz w:val="24"/>
          <w:szCs w:val="24"/>
          <w:highlight w:val="white"/>
          <w:u w:val="none"/>
          <w:effect w:val="none"/>
          <w:vertAlign w:val="baseline"/>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da taxa de câmbio mil-réis por libra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brasileiras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6"/>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19">
            <wp:simplePos x="0" y="0"/>
            <wp:positionH relativeFrom="column">
              <wp:posOffset>366395</wp:posOffset>
            </wp:positionH>
            <wp:positionV relativeFrom="paragraph">
              <wp:posOffset>116205</wp:posOffset>
            </wp:positionV>
            <wp:extent cx="4966970" cy="978535"/>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0"/>
                    <a:stretch>
                      <a:fillRect/>
                    </a:stretch>
                  </pic:blipFill>
                  <pic:spPr bwMode="auto">
                    <a:xfrm>
                      <a:off x="0" y="0"/>
                      <a:ext cx="4966970" cy="978535"/>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Resultados</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Antes de expor os resultados da estimação dos modelos, no gráfico 9 podemos visualizar a relação entre o log das exportações de café e o log do preço médio da saca de café.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bem definida. Por exemplo, observe que nos pontos pertencentes ao período de 1821 a 1830 (antes da lei Feijó) há outliers e, por sua vez, indicando uma relação inversa. Ou seja, indicando outra evidência para mudança nos parâmetros</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7"/>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1"/>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vs Log do preço médio do café entre 1821 a 1850 e entre 1851 a 1900</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2"/>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Interpretando a tabela 3, pode-se concluir de forma sumarizada que até mesmo em 1% rejeitamos a hipótese nula do teste de Chow, ou seja, indicando evidência estatística de quebra estrutural. Em outras palavras: há quebra estrutural nas exportações de café no ano da implementação da Lei Eusébio de Queiroz</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8"/>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Na tabela 2 de forma menos sumarizada, pode-se observar os resultados para os modelos em cada subperíodo: (1) modelo completo; (2) período de 1821 a 1850; (3) período de 1851 a 1900. Como esperado, todos os parâmetros são diferentes, com exceção do preço do café que são aproximados no modelo (1) e (2). Aliás, no modelo (2) o preço médio do café retornou -0.82 e, no modelo (3), 0.041, isto é, um aumento de 1% em média no preço do café reduzi em -0.82% no período de 1821 a 1850 e, de 1851 a 1900, aumenta em 0.041% –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dos modelos: no modelo (1), o preço médio do café retornou como não significante até mesmo em 10%; por sua vez, no modelo (2) e (3) retornaram a taxa de câmbio e o preço médio, respectivamente.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2 – Modelo log-log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3"/>
                    <a:stretch>
                      <a:fillRect/>
                    </a:stretch>
                  </pic:blipFill>
                  <pic:spPr bwMode="auto">
                    <a:xfrm>
                      <a:off x="0" y="0"/>
                      <a:ext cx="5760085" cy="366585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3028950" cy="695325"/>
            <wp:effectExtent l="0" t="0" r="0" b="0"/>
            <wp:wrapSquare wrapText="largest"/>
            <wp:docPr id="22"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0" descr=""/>
                    <pic:cNvPicPr>
                      <a:picLocks noChangeAspect="1" noChangeArrowheads="1"/>
                    </pic:cNvPicPr>
                  </pic:nvPicPr>
                  <pic:blipFill>
                    <a:blip r:embed="rId24"/>
                    <a:stretch>
                      <a:fillRect/>
                    </a:stretch>
                  </pic:blipFill>
                  <pic:spPr bwMode="auto">
                    <a:xfrm>
                      <a:off x="0" y="0"/>
                      <a:ext cx="3028950" cy="6953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24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Para validação dos resultados apresentados, como mencionando na secção de metodologia, o teste de Chow precisa atender certos pressupostos assim como a regressão linear.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2">
            <wp:simplePos x="0" y="0"/>
            <wp:positionH relativeFrom="column">
              <wp:posOffset>0</wp:posOffset>
            </wp:positionH>
            <wp:positionV relativeFrom="paragraph">
              <wp:posOffset>121920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5"/>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240"/>
        <w:ind w:left="0" w:right="0" w:hanging="0"/>
        <w:jc w:val="both"/>
        <w:rPr/>
      </w:pPr>
      <w:r>
        <w:rPr/>
      </w:r>
    </w:p>
    <w:p>
      <w:pPr>
        <w:pStyle w:val="Normal"/>
        <w:spacing w:lineRule="auto" w:line="240"/>
        <w:ind w:left="0" w:right="0" w:hanging="0"/>
        <w:jc w:val="both"/>
        <w:rPr/>
      </w:pPr>
      <w:r>
        <w:rPr/>
      </w:r>
    </w:p>
    <w:p>
      <w:pPr>
        <w:pStyle w:val="Normal"/>
        <w:spacing w:lineRule="auto" w:line="240"/>
        <w:ind w:left="0" w:right="0" w:hanging="0"/>
        <w:jc w:val="both"/>
        <w:rPr>
          <w:rFonts w:ascii="sans-serif" w:hAnsi="sans-serif"/>
          <w:b w:val="false"/>
          <w:b w:val="false"/>
          <w:bCs/>
          <w:i w:val="false"/>
          <w:i w:val="false"/>
          <w:caps w:val="false"/>
          <w:smallCaps w:val="false"/>
          <w:strike w:val="false"/>
          <w:dstrike w:val="false"/>
          <w:color w:val="54595D"/>
          <w:spacing w:val="0"/>
          <w:position w:val="0"/>
          <w:sz w:val="23"/>
          <w:sz w:val="23"/>
          <w:szCs w:val="24"/>
          <w:highlight w:val="white"/>
          <w:u w:val="none"/>
          <w:effect w:val="none"/>
          <w:vertAlign w:val="baseline"/>
        </w:rPr>
      </w:pPr>
      <w:r>
        <w:rPr>
          <w:rFonts w:ascii="sans-serif" w:hAnsi="sans-serif"/>
          <w:b w:val="false"/>
          <w:bCs/>
          <w:i w:val="false"/>
          <w:caps w:val="false"/>
          <w:smallCaps w:val="false"/>
          <w:strike w:val="false"/>
          <w:dstrike w:val="false"/>
          <w:color w:val="54595D"/>
          <w:spacing w:val="0"/>
          <w:position w:val="0"/>
          <w:sz w:val="23"/>
          <w:sz w:val="23"/>
          <w:szCs w:val="24"/>
          <w:highlight w:val="white"/>
          <w:u w:val="none"/>
          <w:effect w:val="none"/>
          <w:vertAlign w:val="baseline"/>
        </w:rPr>
        <w:t>Voyage pittoresque et historique au Brésil, ou Séjour d'un artiste français au Brésil, depuis 1816 jusqu'en 1831 inclusivement, epoques de l'avènement et de l'abdication de S. M. D. Pedro 1er, fondateur de l'Empire brésilien. Dédié à l'Académie des Beaux-Arts de l'Institut de France.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 modelo completo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6"/>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Validação modelo (3)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1821 a 1850</w:t>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7"/>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1850 a 1900</w:t>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5760085"/>
            <wp:effectExtent l="0" t="0" r="0" b="0"/>
            <wp:wrapSquare wrapText="largest"/>
            <wp:docPr id="2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3" descr=""/>
                    <pic:cNvPicPr>
                      <a:picLocks noChangeAspect="1" noChangeArrowheads="1"/>
                    </pic:cNvPicPr>
                  </pic:nvPicPr>
                  <pic:blipFill>
                    <a:blip r:embed="rId28"/>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29">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30">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1"/>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sans-serif">
    <w:altName w:val="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parcela das historiografia que não utiliza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De acordo com o The Trans-Atlantic Slave Trade Database. </w:t>
      </w:r>
    </w:p>
  </w:footnote>
  <w:footnote w:id="6">
    <w:p>
      <w:pPr>
        <w:pStyle w:val="Notaderodap"/>
        <w:rPr/>
      </w:pPr>
      <w:r>
        <w:rPr>
          <w:rStyle w:val="Caracteresdenotaderodap"/>
        </w:rPr>
        <w:footnoteRef/>
      </w:r>
      <w:r>
        <w:rPr/>
        <w:tab/>
        <w:t xml:space="preserve">Ver, Klein (1987). </w:t>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 xml:space="preserve">Ver anexo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20">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1">
    <w:p>
      <w:pPr>
        <w:pStyle w:val="Notaderodap"/>
        <w:ind w:right="0" w:hanging="0"/>
        <w:rPr/>
      </w:pPr>
      <w:r>
        <w:rPr>
          <w:rStyle w:val="Caracteresdenotaderodap"/>
        </w:rPr>
        <w:footnoteRef/>
      </w:r>
      <w:r>
        <w:rPr/>
        <w:t xml:space="preserve">    </w:t>
      </w:r>
      <w:r>
        <w:rPr/>
        <w:t xml:space="preserve">Ver, Costa (2016). </w:t>
      </w:r>
    </w:p>
  </w:footnote>
  <w:footnote w:id="22">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3">
    <w:p>
      <w:pPr>
        <w:pStyle w:val="Notaderodap"/>
        <w:rPr>
          <w:sz w:val="20"/>
          <w:szCs w:val="20"/>
        </w:rPr>
      </w:pPr>
      <w:r>
        <w:rPr>
          <w:rStyle w:val="Caracteresdenotaderodap"/>
        </w:rPr>
        <w:footnoteRef/>
      </w:r>
      <w:r>
        <w:rPr>
          <w:rFonts w:eastAsia="Times New Roman" w:cs="Times New Roman"/>
          <w:b w:val="false"/>
          <w:bCs w:val="false"/>
          <w:color w:val="auto"/>
          <w:kern w:val="0"/>
          <w:sz w:val="20"/>
          <w:szCs w:val="20"/>
          <w:lang w:val="pt-BR" w:eastAsia="pt-BR" w:bidi="ar-SA"/>
        </w:rPr>
        <w:tab/>
        <w:t>N</w:t>
      </w:r>
      <w:r>
        <w:rPr>
          <w:rFonts w:eastAsia="Times New Roman" w:cs="Times New Roman"/>
          <w:b w:val="false"/>
          <w:bCs w:val="false"/>
          <w:color w:val="auto"/>
          <w:kern w:val="0"/>
          <w:sz w:val="20"/>
          <w:szCs w:val="20"/>
          <w:lang w:val="pt-BR" w:eastAsia="pt-BR" w:bidi="ar-SA"/>
        </w:rPr>
        <w:t xml:space="preserve">ão obstante, é necessário certo cuidado </w:t>
      </w:r>
      <w:r>
        <w:rPr>
          <w:rFonts w:eastAsia="Times New Roman" w:cs="Times New Roman"/>
          <w:b w:val="false"/>
          <w:bCs w:val="false"/>
          <w:color w:val="auto"/>
          <w:kern w:val="0"/>
          <w:sz w:val="20"/>
          <w:szCs w:val="20"/>
          <w:lang w:val="pt-BR" w:eastAsia="pt-BR" w:bidi="ar-SA"/>
        </w:rPr>
        <w:t>para n</w:t>
      </w:r>
      <w:r>
        <w:rPr>
          <w:rFonts w:eastAsia="Times New Roman" w:cs="Times New Roman"/>
          <w:b w:val="false"/>
          <w:bCs w:val="false"/>
          <w:color w:val="auto"/>
          <w:kern w:val="0"/>
          <w:sz w:val="20"/>
          <w:szCs w:val="20"/>
          <w:lang w:val="pt-BR" w:eastAsia="pt-BR" w:bidi="ar-SA"/>
        </w:rPr>
        <w:t>ão ser confundido com</w:t>
      </w:r>
      <w:r>
        <w:rPr>
          <w:rFonts w:eastAsia="Times New Roman" w:cs="Times New Roman"/>
          <w:b w:val="false"/>
          <w:bCs w:val="false"/>
          <w:color w:val="auto"/>
          <w:kern w:val="0"/>
          <w:sz w:val="20"/>
          <w:szCs w:val="20"/>
          <w:lang w:val="pt-BR" w:eastAsia="pt-BR" w:bidi="ar-SA"/>
        </w:rPr>
        <w:t xml:space="preserve"> casos de processo de memória longa.</w:t>
      </w:r>
    </w:p>
  </w:footnote>
  <w:footnote w:id="24">
    <w:p>
      <w:pPr>
        <w:pStyle w:val="Notaderodap"/>
        <w:rPr>
          <w:rFonts w:eastAsia="Times New Roman" w:cs="Times New Roman"/>
          <w:b w:val="false"/>
          <w:b w:val="false"/>
          <w:bCs w:val="false"/>
          <w:i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pPr>
      <w:r>
        <w:rPr>
          <w:rStyle w:val="Caracteresdenotaderodap"/>
        </w:rPr>
        <w:footnoteRef/>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ab/>
        <w:t>Assumindo quebra estrutural nas exportações no “ponto de pré-transição”.</w:t>
      </w:r>
    </w:p>
  </w:footnote>
  <w:footnote w:id="25">
    <w:p>
      <w:pPr>
        <w:pStyle w:val="Notaderodap"/>
        <w:rPr/>
      </w:pPr>
      <w:r>
        <w:rPr>
          <w:rStyle w:val="Caracteresdenotaderodap"/>
        </w:rPr>
        <w:footnoteRef/>
      </w:r>
      <w:r>
        <w:rPr/>
        <w:tab/>
        <w:t xml:space="preserve">Sobre o modelo log-log, ver Gujarati &amp; Porter (2010, p. 176-179). </w:t>
      </w:r>
    </w:p>
  </w:footnote>
  <w:footnote w:id="26">
    <w:p>
      <w:pPr>
        <w:pStyle w:val="Notaderodap"/>
        <w:rPr/>
      </w:pPr>
      <w:r>
        <w:rPr>
          <w:rStyle w:val="Caracteresdenotaderodap"/>
        </w:rPr>
        <w:footnoteRef/>
      </w:r>
      <w:r>
        <w:rPr/>
        <w:tab/>
        <w:t xml:space="preserve">Para uma ampla revisão bibliográficas referentes aos modelos e exportação, ver Carneiro (2014). </w:t>
      </w:r>
    </w:p>
  </w:footnote>
  <w:footnote w:id="27">
    <w:p>
      <w:pPr>
        <w:pStyle w:val="Notaderodap"/>
        <w:rPr/>
      </w:pPr>
      <w:r>
        <w:rPr>
          <w:rStyle w:val="Caracteresdenotaderodap"/>
        </w:rPr>
        <w:footnoteRef/>
      </w:r>
      <w:r>
        <w:rPr/>
        <w:tab/>
        <w:t xml:space="preserve">Pelo menos para a possibilidade de visualização com duas variáveis em um plano bidimensional. </w:t>
      </w:r>
    </w:p>
  </w:footnote>
  <w:footnote w:id="28">
    <w:p>
      <w:pPr>
        <w:pStyle w:val="Notaderodap"/>
        <w:rPr/>
      </w:pPr>
      <w:r>
        <w:rPr>
          <w:rStyle w:val="Caracteresdenotaderodap"/>
        </w:rPr>
        <w:footnoteRef/>
      </w:r>
      <w:r>
        <w:rPr/>
        <w:tab/>
        <w:t xml:space="preserve">Lembrando que o teste de Chow não pressupõe causalidade.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ind w:left="0" w:right="0" w:hanging="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jc w:val="center"/>
      <w:outlineLvl w:val="0"/>
    </w:pPr>
    <w:rPr>
      <w:b/>
      <w:sz w:val="28"/>
      <w:szCs w:val="20"/>
    </w:rPr>
  </w:style>
  <w:style w:type="paragraph" w:styleId="Ttulo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fals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fals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hyperlink" Target="https://goo.gl/M2YGtV" TargetMode="External"/><Relationship Id="rId30" Type="http://schemas.openxmlformats.org/officeDocument/2006/relationships/hyperlink" Target="https://repositorio.ufjf.br/jspui/handle/ufjf/3276" TargetMode="External"/><Relationship Id="rId31" Type="http://schemas.openxmlformats.org/officeDocument/2006/relationships/header" Target="header3.xml"/><Relationship Id="rId32" Type="http://schemas.openxmlformats.org/officeDocument/2006/relationships/footnotes" Target="footnotes.xml"/><Relationship Id="rId33" Type="http://schemas.openxmlformats.org/officeDocument/2006/relationships/fontTable" Target="fontTable.xml"/><Relationship Id="rId34"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4528</TotalTime>
  <Application>LibreOffice/7.3.7.2$Linux_X86_64 LibreOffice_project/30$Build-2</Application>
  <AppVersion>15.0000</AppVersion>
  <Pages>46</Pages>
  <Words>7172</Words>
  <Characters>38941</Characters>
  <CharactersWithSpaces>46454</CharactersWithSpaces>
  <Paragraphs>213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2023-03-22T22:58:07Z</dcterms:modified>
  <cp:revision>146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